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de651b7e348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  <w:headerReference w:type="default" r:id="Rb7e4e67e61d643b1"/>
      <w:headerReference w:type="even" r:id="R791325edada44763"/>
      <w:headerReference w:type="first" r:id="Rb8aaac94b3e342ad"/>
      <w:titlePg/>
    </w:sectPr>
    <w:sectPr/>
    <w:sectPr w:rsidR="003E25F4" w:rsidSect="00FC3028">
      <w:pgSz w:w="11906" w:h="16838"/>
      <w:pgMar w:top="0" w:right="1440" w:bottom="1440" w:left="1440" w:header="708" w:footer="708" w:gutter="0"/>
      <w:cols w:space="708"/>
      <w:docGrid w:linePitch="360"/>
    </w:sectPr>
    <w:p>
      <w:pPr/>
    </w:p>
    <w:tbl>
      <w:tblPr>
        <w:tblStyle w:val="TableNormal"/>
        <w:tblW w:w="5000" w:type="pct"/>
        <w:tblLook w:val="04A0"/>
      </w:tblPr>
      <w:tblGrid>
        <w:gridCol w:w="2310"/>
      </w:tblGrid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 А С П О Р Т</w:t>
            </w:r>
          </w:p>
        </w:tc>
      </w:tr>
      <w:tr>
        <w:tc>
          <w:tcPr>
            <w:tcW w:w="2310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государственной программы Российской Федерации «Доступная среда»</w:t>
            </w:r>
          </w:p>
        </w:tc>
      </w:tr>
    </w:tbl>
    <w:p>
      <w:pPr/>
    </w:p>
    <w:p>
      <w:pPr/>
      <w:r>
        <w:rPr>
          <w:lang w:val="ru-RU"/>
        </w:rPr>
        <w:br/>
      </w:r>
    </w:p>
    <w:p>
      <w:pPr/>
      <w:r>
        <w:rPr>
          <w:lang w:val="ru-RU"/>
        </w:rPr>
        <w:br/>
      </w:r>
    </w:p>
    <w:p>
      <w:pPr/>
    </w:p>
    <w:tbl>
      <w:tblPr>
        <w:tblStyle w:val="76623416-8d92-4dd2-b6b3-c4681b56ce67"/>
        <w:tblW w:w="0" w:type="pct"/>
        <w:tblLook w:val="04A0"/>
      </w:tblPr>
      <w:tblGrid>
        <w:gridCol w:w="1428" w:type="pct"/>
        <w:gridCol w:w="1785" w:type="pct"/>
        <w:gridCol w:w="1787" w:type="pct"/>
      </w:tblGrid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785" w:type="pct"/>
            <w:gridSpan w:val="2"/>
          </w:tcPr>
          <w:p/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науки и высшего образования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просвещения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промышленности и торговли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культуры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здравоохранения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цифрового развития, связи и массовых коммуникаций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сельского хозяйства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агентство по печати и массовым коммуникациям,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статистики,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агентство по техническому регулированию и метрологии,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Федеральное медико-биологическое агентство,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Пенсионный фонд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Фонд социального страхования Российской Федерации,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Министерство спорта Российской Федерации</w:t>
            </w:r>
          </w:p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1.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 (Министерство труда и социальной защиты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2. Совершенствование системы комплексной реабилитации и абилитации инвалидов (Министерство труда и социальной защиты Российской Федерации),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Подпрограмма 3. Совершенствование государственной системы медико-социальной экспертизы (Министерство труда и социальной защиты Российской Федерации)</w:t>
            </w:r>
          </w:p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1.Создание правовых, экономических и институциональных условий, способствующих интеграции инвалидов в общество и повышению уровня их жизни.</w:t>
            </w:r>
          </w:p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1.Обеспечение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населения.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2.Обеспечение равного доступа инвалидов к реабилитационным и абилитационным услугам, включая обеспечение равного доступа к профессиональному развитию и трудоустройству инвалидов.</w:t>
            </w:r>
            <w:r>
              <w:rPr>
                <w:lang w:val="ru-RU"/>
              </w:rPr>
              <w:t>
</w:t>
            </w:r>
            <w:r>
              <w:rPr>
                <w:lang w:val="ru-RU"/>
              </w:rPr>
              <w:br/>
            </w: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3.Обеспечение объективности и прозрачности деятельности учреждений медико-социальной экспертизы..</w:t>
            </w:r>
          </w:p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положительно оценивающих отношение населения к проблемам инвалидов, в общей численности опрошенных инвалидов,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процент;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Доля занятых инвалидов трудоспособного возраста в общей численности инвалидов трудоспособного возраста в Российской Федерации, процент</w:t>
            </w:r>
          </w:p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 этап: 01.01.2011 — 31.12.2012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II этап: 01.01.2013 — 31.12.2015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III этап: 01.01.2016 — 31.12.2018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IV этап: 01.01.2019 — 31.12.2020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V этап: 01.01.2021 — 31.12.2025</w:t>
            </w:r>
          </w:p>
        </w:tc>
      </w:tr>
      <w:tr>
        <w:tc>
          <w:tcPr>
            <w:tcW w:w="1428" w:type="pct"/>
            <w:vAlign w:val="top"/>
            <w:vMerge w:val="restart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из средств федерального бюджета и бюджетов государственных внебюджетных фондов составляет - 707 726 904,2 тыс. руб.;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государственной программы по годам составляет (тыс. руб.):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87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Федеральный бюджет и бюджеты государственных внебюджетных фондов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31 748 838,0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28 421 796,3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32 287 206,4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30 808 612,6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41 087 160,8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38 553 312,2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47 448 769,1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50 794 059,5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53 799 240,0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59 340 303,2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60 284 199,0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60 993 731,2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56 933 225,3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57 613 225,3</w:t>
            </w:r>
          </w:p>
        </w:tc>
      </w:tr>
      <w:tr>
        <w:tc>
          <w:tcPr>
            <w:tcW w:w="1428" w:type="pct"/>
            <w:vMerge/>
          </w:tcPr>
          <w:p>
            <w:pPr/>
          </w:p>
        </w:tc>
        <w:tc>
          <w:tcPr>
            <w:tcW w:w="1785" w:type="pct"/>
            <w:vAlign w:val="top"/>
          </w:tcPr>
          <w:p>
            <w:pPr>
              <w:jc w:val="center"/>
            </w:pPr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87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57 613 225,3</w:t>
            </w:r>
          </w:p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увеличение доли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(до 70,7 процентов к 2025 году); увеличение доли инвалидов, положительно оценивающих отношение населения к проблемам инвалидов, в общей численности опрошенных инвалидов (до 64,9 процента к 2025 году); увеличение доли субъектов Российской Федерации, сформировавших систему комплексной реабилитации и абилитации инвалидов, в том числе детей-инвалидов, соответствующую типовой программе субъекта Российской Федерации, в общем количестве субъектов Российской Федерации (до 100 процента к 2024 году); 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 (до 76,9 процента к 2025 году); увеличение доли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 (до 78,8 процента к 2025 году); увеличение доли занятых инвалидов трудоспособного возраста в общей численности инвалидов трудоспособного возраста в Российской Федерации (до 51,7 процентов к 2025 году)</w:t>
            </w:r>
          </w:p>
        </w:tc>
      </w:tr>
      <w:tr>
        <w:tc>
          <w:tcPr>
            <w:tcW w:w="1428" w:type="pct"/>
            <w:vAlign w:val="top"/>
          </w:tcPr>
          <w:p>
            <w:pPr/>
            <w:r>
              <w:rPr>
                <w:lang w:val="ru-RU"/>
                <w:rFonts w:ascii="Times New Roman" w:hAnsi="Times New Roman" w:cs="Times New Roman"/>
                <w:b/>
                <w:sz w:val="28"/>
                <w:szCs w:val="28"/>
              </w:rPr>
              <w:t>Объем налоговых расходов Российской Федерации в рамках реализации государственной программы</w:t>
            </w:r>
          </w:p>
        </w:tc>
        <w:tc>
          <w:tcPr>
            <w:tcW w:w="1785" w:type="pct"/>
            <w:gridSpan w:val="2"/>
          </w:tcPr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2011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2012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2013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2014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2015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2016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2017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2018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2019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2020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2021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2022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2023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2024 год - 0,00 тыс. рублей;</w:t>
            </w:r>
          </w:p>
          <w:p>
            <w:pPr/>
            <w:r>
              <w:rPr>
                <w:lang w:val="ru-RU"/>
                <w:rFonts w:ascii="Times New Roman" w:hAnsi="Times New Roman" w:cs="Times New Roman"/>
                <w:sz w:val="28"/>
                <w:szCs w:val="28"/>
              </w:rPr>
              <w:t>на 2025 год - 0,00 тыс. рублей;</w:t>
            </w:r>
          </w:p>
        </w:tc>
      </w:tr>
    </w:tbl>
    <w:p>
      <w:pPr/>
    </w:p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 xmlns:w="http://schemas.openxmlformats.org/wordprocessingml/2006/main">
    <w:sdtPr>
      <w:id w:val="157571950"/>
      <w:docPartObj>
        <w:docPartGallery w:val="Page Numbers (Top of Page)"/>
        <w:docPartUnique/>
      </w:docPartObj>
    </w:sdtPr>
    <w:sdtContent>
      <w:p w:rsidR="008D2BFB" w:rsidRDefault="008D2BFB">
        <w:pPr>
          <w:pStyle w:val="Header"/>
          <w:jc w:val="center"/>
        </w:pPr>
        <w:r>
          <w:rPr>
            <w:rFonts w:cs="Times New Roman" w:ascii="Times New Roman" w:hAnsi="Times New Roman"/>
          </w:rPr>
          <w:fldChar w:fldCharType="begin"/>
        </w:r>
        <w:r>
          <w:rPr>
            <w:rFonts w:cs="Times New Roman" w:ascii="Times New Roman" w:hAnsi="Times New Roman"/>
          </w:rPr>
          <w:instrText> PAGE \* MERGEFORMAT</w:instrText>
        </w:r>
        <w:r>
          <w:rPr>
            <w:rFonts w:cs="Times New Roman" w:ascii="Times New Roman" w:hAnsi="Times New Roman"/>
          </w:rPr>
          <w:fldChar w:fldCharType="separate"/>
        </w:r>
        <w:r>
          <w:rPr>
            <w:rFonts w:cs="Times New Roman" w:ascii="Times New Roman" w:hAnsi="Times New Roman"/>
            <w:noProof/>
          </w:rPr>
          <w:rPr/>
          <w:t>2</w:t>
        </w:r>
        <w:r>
          <w:rPr>
            <w:rFonts w:cs="Times New Roman" w:ascii="Times New Roman" w:hAnsi="Times New Roman"/>
            <w:noProof/>
          </w:rPr>
          <w:rPr/>
          <w:fldChar w:fldCharType="end"/>
        </w:r>
      </w:p>
    </w:sdtContent>
  </w:sdt>
  <w:p w:rsidR="009D472B" w:rsidRDefault="009D47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76623416-8d92-4dd2-b6b3-c4681b56ce67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13089e792b4141" /><Relationship Type="http://schemas.openxmlformats.org/officeDocument/2006/relationships/numbering" Target="/word/numbering.xml" Id="Rfdf94e89bccc4b9f" /><Relationship Type="http://schemas.openxmlformats.org/officeDocument/2006/relationships/settings" Target="/word/settings.xml" Id="R53d4ee1447ac421c" /><Relationship Type="http://schemas.openxmlformats.org/officeDocument/2006/relationships/header" Target="/word/header1.xml" Id="Rb7e4e67e61d643b1" /><Relationship Type="http://schemas.openxmlformats.org/officeDocument/2006/relationships/header" Target="/word/header2.xml" Id="R791325edada44763" /><Relationship Type="http://schemas.openxmlformats.org/officeDocument/2006/relationships/header" Target="/word/header3.xml" Id="Rb8aaac94b3e342ad" /></Relationships>
</file>